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365</w:t>
      </w:r>
    </w:p>
    <w:p>
      <w:r>
        <w:t>Bundesgericht (BGE), 1991-10-25, DE</w:t>
      </w:r>
    </w:p>
    <w:p>
      <w:r>
        <w:rPr>
          <w:b/>
        </w:rPr>
        <w:t xml:space="preserve">Quelle: </w:t>
      </w:r>
      <w:r>
        <w:t>https://mcp.opencaselaw.ch/entscheid/bge_118 II 365</w:t>
      </w:r>
    </w:p>
    <w:p>
      <w:r>
        <w:t>FR: ATF 118 II 365</w:t>
      </w:r>
    </w:p>
    <w:p>
      <w:r>
        <w:t>IT: DTF 118 II 365</w:t>
      </w:r>
    </w:p>
    <w:p>
      <w:pPr>
        <w:pStyle w:val="Heading2"/>
      </w:pPr>
      <w:r>
        <w:t>Regeste</w:t>
      </w:r>
    </w:p>
    <w:p>
      <w:r>
        <w:t>Regeste Überprüfung der subjektiven Vertragsauslegung im Berufungsverfahren. Auch wenn der kantonale Richter den tatsächlichen Parteiwillen aufgrund von Indizien festgestellt hat, ist im Berufungsverfahren eine Überprüfung dieser Feststellung unter Vorbehalt der Ausnahmen von Art. 63 Abs. 2 und Art. 64 OG ausgeschlossen (E. 1).</w:t>
      </w:r>
    </w:p>
    <w:p>
      <w:pPr>
        <w:pStyle w:val="Heading2"/>
      </w:pPr>
      <w:r>
        <w:t>Erwägungen</w:t>
      </w:r>
    </w:p>
    <w:p>
      <w:r>
        <w:rPr>
          <w:b/>
        </w:rPr>
        <w:t>E. 1</w:t>
      </w:r>
    </w:p>
    <w:p>
      <w:r>
        <w:t>Der Inhalt eines Vertrags bestimmt sich in erster Linie durch subjektive Auslegung, d.h. nach dem übereinstimmenden wirklichen Parteiwillen ( Art. 18 Abs. 1 OR ). Nur wenn eine tatsächliche BGE 118 II 365 S. 366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117 II 278 E. 5a). Während das Bundesgericht die objektivierte Vertragsauslegung nach dem Vertrauensprinzip als Rechtsfrage im Berufungsverfahren frei prüft ( BGE 117 II 278 f. E. 5a), beruht die subjektive Vertragsauslegung auf Beweiswürdigung, die vorbehältlich der Ausnahmen von Art. 63 Abs. 2 und Art. 64 OG der bundesgerichtlichen Überprüfung im Berufungsverfahren auch dann entzogen ist, wenn der kantonale Richter den tatsächlichen Parteiwillen aufgrund von Indizien wie dem nachträglichen Parteiverfahren festgestellt hat ( BGE 107 II 418 E. 6). Trotz der in einem Teil der Literatur geäusserten Kritik ist an dieser Beschränkung festzuhalten (KRAMER, N. 74 ff. zu Art. 18 OR mit weiteren Hinweisen; vgl. auch POUDRET, COJ N. 4.4.4 zu Art. 63 OG ). Sie ergibt sich schon aus der verfassungsmässigen Ordnung, nach der die Berufung allein die Sicherstellung der einheitlichen Anwendung des formellen und materiellen Bundesprivatrechts bezwecken kann ( Art. 114 BV ) und nicht in die kantonale Prozesshoheit ( Art. 64 Abs. 3 BV ) eingreifen darf. Für erhebliche Tatsachenbehauptungen gibt das Bundesrecht zwar einen Anspruch auf Zulassung zum Beweis ( BGE 114 II 290 f. E. 2a), im übrigen sind jedoch sowohl die Abnahme wie die Würdigung von Beweisen (KUMMER, N. 10 und N. 111 zu Art. 8 ZGB ) ausschliesslich vom kantonalen Prozessrecht beherrscht, das nicht Gegenstand der Berufung sein kann (Art. 55 Abs. 1 lit. c a. E. OG). Dass der Richter beim Indizienbeweis aufgrund von Erfahrungssätzen aus dem Indiz auf die rechtlich zu beurteilende Tatsache schliesst (KUMMER, N. 93 zu Art. 8 ZGB ), kann zu keinem anderen Ergebnis führen. Denn hätte bereits das Abstellen auf Erfahrungssätze zur Folge, dass die Beweiswürdigung auf Berufung hin zu überprüfen wäre, könnte jede Beweiswürdigung mit diesem Rechtsmittel angefochten werden, beruht doch Beweiswürdigung stets auch auf richterlicher Lebenserfahrung. Entsprechend der verfassungsmässigen Ordnung hat die Überprüfung von Erfahrungssätzen im Berufungsverfahren daher auf Sätze der allgemeinen Lebenserfahrung beschränkt zu bleiben, die sich generell abstrakten Rechtsnormen nähern, weil sie dem Richter über den konkreten Einzelfall hinaus als allgemeingültiger Massstab für die Beurteilung von Tatsachen dienen ( BGE 69 II 204 ff. E. 5; POUDRET, COJ N. 4.2.4 BGE 118 II 365 S. 367 zu Art. 63 OG mit weiteren Hinweisen). Dazu gehören die Erfahrungssätze, die der Richter bei der Ermittlung des tatsächlichen Parteiwillens im Rahmen der subjektiven Vertragsauslegung heranzieht, indessen nicht (POUDRET, COJ N. 4.4.4 zu Art. 63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